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关于抢劫过程中故意杀人案件</w:t>
      </w:r>
    </w:p>
    <w:p>
      <w:pPr>
        <w:pStyle w:val="7"/>
        <w:rPr>
          <w:rFonts w:hint="eastAsia"/>
        </w:rPr>
      </w:pPr>
      <w:r>
        <w:t>如何定罪问题的批复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法释〔2001〕16号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2001年5月22日最高人民法院审判委员会第1176次会议通过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2001</w:t>
      </w:r>
      <w:r>
        <w:t>年5月23日最高人民法院公告公</w:t>
      </w:r>
      <w:bookmarkStart w:id="0" w:name="_GoBack"/>
      <w:bookmarkEnd w:id="0"/>
      <w:r>
        <w:t>布　自2001年5月26日起施行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上海市高级人民法院：</w:t>
      </w:r>
    </w:p>
    <w:p>
      <w:pPr>
        <w:pStyle w:val="12"/>
        <w:jc w:val="both"/>
        <w:rPr>
          <w:rFonts w:hint="eastAsia"/>
        </w:rPr>
      </w:pPr>
      <w:r>
        <w:t>你院沪高法〔2000〕117号《关于抢劫过程中故意杀人案件定性问题的请示》收悉。经研究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jc w:val="both"/>
        <w:rPr>
          <w:rFonts w:hint="eastAsia"/>
        </w:rPr>
      </w:pPr>
      <w:r>
        <w:t>行为人为劫取财物而预谋故意杀人</w:t>
      </w:r>
      <w:r>
        <w:rPr>
          <w:rFonts w:hint="eastAsia"/>
        </w:rPr>
        <w:t>，</w:t>
      </w:r>
      <w:r>
        <w:t>或者在劫取财物过</w:t>
      </w:r>
      <w:r>
        <w:rPr>
          <w:rFonts w:hint="eastAsia"/>
        </w:rPr>
        <w:t>程中，为制服被害人反抗而故意杀人的，以抢劫罪定罪处罚。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行为人实施抢劫后，为灭口而故意杀人的，以抢劫罪和故意杀人罪定罪，实行数罪并罚。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A1FBF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83A1FBF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E6A5987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2017-11-01T10:44:00Z</dcterms:created>
  <dc:creator>Administrator</dc:creator>
  <cp:lastModifiedBy>Administrator</cp:lastModifiedBy>
  <dcterms:modified xsi:type="dcterms:W3CDTF">2017-11-01T13:58:52Z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